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4C312B">
              <w:rPr>
                <w:rFonts w:ascii="Times New Roman" w:hAnsi="Times New Roman" w:cs="Times New Roman"/>
                <w:lang w:val="en-GB"/>
              </w:rPr>
              <w:t>Comuna</w:t>
            </w:r>
            <w:proofErr w:type="spellEnd"/>
            <w:r w:rsidR="004C312B">
              <w:rPr>
                <w:rFonts w:ascii="Times New Roman" w:hAnsi="Times New Roman" w:cs="Times New Roman"/>
                <w:lang w:val="en-GB"/>
              </w:rPr>
              <w:t xml:space="preserve"> </w:t>
            </w:r>
            <w:proofErr w:type="spellStart"/>
            <w:r w:rsidR="004C312B">
              <w:rPr>
                <w:rFonts w:ascii="Times New Roman" w:hAnsi="Times New Roman" w:cs="Times New Roman"/>
                <w:lang w:val="en-GB"/>
              </w:rPr>
              <w:t>Dumbrava</w:t>
            </w:r>
            <w:proofErr w:type="spellEnd"/>
            <w:r w:rsidR="003B4186">
              <w:rPr>
                <w:rFonts w:ascii="Times New Roman" w:hAnsi="Times New Roman" w:cs="Times New Roman"/>
                <w:lang w:val="en-GB"/>
              </w:rPr>
              <w:t xml:space="preserve">, </w:t>
            </w:r>
            <w:proofErr w:type="spellStart"/>
            <w:r w:rsidR="003B4186">
              <w:rPr>
                <w:rFonts w:ascii="Times New Roman" w:hAnsi="Times New Roman" w:cs="Times New Roman"/>
                <w:lang w:val="en-GB"/>
              </w:rPr>
              <w:t>Dumbrava</w:t>
            </w:r>
            <w:proofErr w:type="spellEnd"/>
            <w:r w:rsidR="003B4186">
              <w:rPr>
                <w:rFonts w:ascii="Times New Roman" w:hAnsi="Times New Roman" w:cs="Times New Roman"/>
                <w:lang w:val="en-GB"/>
              </w:rPr>
              <w:t xml:space="preserve"> nr. 336</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B4186">
              <w:rPr>
                <w:rFonts w:ascii="Times New Roman" w:hAnsi="Times New Roman" w:cs="Times New Roman"/>
                <w:lang w:val="en-GB"/>
              </w:rPr>
              <w:t>Travel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12B">
              <w:rPr>
                <w:rFonts w:ascii="Times New Roman" w:hAnsi="Times New Roman" w:cs="Times New Roman"/>
                <w:lang w:val="en-GB"/>
              </w:rPr>
              <w:t>23/DUMBRAVA/0</w:t>
            </w:r>
            <w:r w:rsidR="003E6F89">
              <w:rPr>
                <w:rFonts w:ascii="Times New Roman" w:hAnsi="Times New Roman" w:cs="Times New Roman"/>
                <w:lang w:val="en-GB"/>
              </w:rPr>
              <w:t>4</w:t>
            </w:r>
          </w:p>
          <w:p w:rsidR="00056F91" w:rsidRPr="00E53649" w:rsidRDefault="00056F91" w:rsidP="001C4094">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1C4094">
              <w:rPr>
                <w:rFonts w:ascii="Times New Roman" w:hAnsi="Times New Roman" w:cs="Times New Roman"/>
                <w:lang w:val="en-GB"/>
              </w:rPr>
              <w:t>10</w:t>
            </w:r>
            <w:r w:rsidR="004C312B">
              <w:rPr>
                <w:rFonts w:ascii="Times New Roman" w:hAnsi="Times New Roman" w:cs="Times New Roman"/>
                <w:lang w:val="en-GB"/>
              </w:rPr>
              <w:t>.0</w:t>
            </w:r>
            <w:r w:rsidR="003B4186">
              <w:rPr>
                <w:rFonts w:ascii="Times New Roman" w:hAnsi="Times New Roman" w:cs="Times New Roman"/>
                <w:lang w:val="en-GB"/>
              </w:rPr>
              <w:t>8</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B4186">
        <w:rPr>
          <w:rFonts w:ascii="Times New Roman" w:hAnsi="Times New Roman" w:cs="Times New Roman"/>
          <w:sz w:val="24"/>
          <w:szCs w:val="24"/>
          <w:lang w:val="en-GB"/>
        </w:rPr>
        <w:t>18</w:t>
      </w:r>
      <w:r w:rsidR="004C312B">
        <w:rPr>
          <w:rFonts w:ascii="Times New Roman" w:hAnsi="Times New Roman" w:cs="Times New Roman"/>
          <w:sz w:val="24"/>
          <w:szCs w:val="24"/>
          <w:lang w:val="en-GB"/>
        </w:rPr>
        <w:t>.0</w:t>
      </w:r>
      <w:r w:rsidR="003B4186">
        <w:rPr>
          <w:rFonts w:ascii="Times New Roman" w:hAnsi="Times New Roman" w:cs="Times New Roman"/>
          <w:sz w:val="24"/>
          <w:szCs w:val="24"/>
          <w:lang w:val="en-GB"/>
        </w:rPr>
        <w:t>8</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3B4186">
        <w:rPr>
          <w:rFonts w:ascii="Times New Roman" w:hAnsi="Times New Roman" w:cs="Times New Roman"/>
          <w:sz w:val="24"/>
          <w:szCs w:val="24"/>
          <w:lang w:val="en-GB"/>
        </w:rPr>
        <w:t>6.300</w:t>
      </w:r>
      <w:r w:rsidRPr="004C312B">
        <w:rPr>
          <w:rFonts w:ascii="Times New Roman" w:hAnsi="Times New Roman" w:cs="Times New Roman"/>
          <w:sz w:val="24"/>
          <w:szCs w:val="24"/>
          <w:lang w:val="en-GB"/>
        </w:rPr>
        <w:t xml:space="preserve"> 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B4186">
        <w:rPr>
          <w:rFonts w:ascii="Times New Roman" w:hAnsi="Times New Roman" w:cs="Times New Roman"/>
          <w:sz w:val="24"/>
          <w:szCs w:val="24"/>
          <w:lang w:val="en-GB"/>
        </w:rPr>
        <w:t>4</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B4186">
        <w:rPr>
          <w:rFonts w:ascii="Times New Roman" w:hAnsi="Times New Roman" w:cs="Times New Roman"/>
          <w:sz w:val="24"/>
          <w:szCs w:val="24"/>
          <w:lang w:val="en-GB"/>
        </w:rPr>
        <w:t>4</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4C312B">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4C312B">
        <w:rPr>
          <w:rFonts w:ascii="Times New Roman" w:hAnsi="Times New Roman" w:cs="Times New Roman"/>
          <w:sz w:val="24"/>
          <w:szCs w:val="24"/>
          <w:lang w:val="en-GB"/>
        </w:rPr>
        <w:t>30</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3B4186" w:rsidRPr="004C312B" w:rsidRDefault="003B4186"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Transportation licence</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B4186">
        <w:rPr>
          <w:rFonts w:ascii="Times New Roman" w:hAnsi="Times New Roman" w:cs="Times New Roman"/>
          <w:lang w:val="en-GB"/>
        </w:rPr>
        <w:t>Travel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C312B">
        <w:rPr>
          <w:rFonts w:ascii="Times New Roman" w:hAnsi="Times New Roman" w:cs="Times New Roman"/>
          <w:lang w:val="en-GB"/>
        </w:rPr>
        <w:t>23/DUMBRAVA/0</w:t>
      </w:r>
      <w:r w:rsidR="003E6F89">
        <w:rPr>
          <w:rFonts w:ascii="Times New Roman" w:hAnsi="Times New Roman" w:cs="Times New Roman"/>
          <w:lang w:val="en-GB"/>
        </w:rPr>
        <w:t>4</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4C312B"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Comuna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Dumbrava</w:t>
      </w:r>
      <w:proofErr w:type="spellEnd"/>
    </w:p>
    <w:p w:rsidR="004C312B" w:rsidRDefault="003370E1"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Dumbrava</w:t>
      </w:r>
      <w:proofErr w:type="spellEnd"/>
      <w:r>
        <w:rPr>
          <w:rFonts w:ascii="Times New Roman" w:hAnsi="Times New Roman" w:cs="Times New Roman"/>
          <w:sz w:val="24"/>
          <w:szCs w:val="24"/>
          <w:lang w:val="en-GB"/>
        </w:rPr>
        <w:t xml:space="preserve">, str. </w:t>
      </w:r>
      <w:proofErr w:type="spellStart"/>
      <w:r>
        <w:rPr>
          <w:rFonts w:ascii="Times New Roman" w:hAnsi="Times New Roman" w:cs="Times New Roman"/>
          <w:sz w:val="24"/>
          <w:szCs w:val="24"/>
          <w:lang w:val="en-GB"/>
        </w:rPr>
        <w:t>Principală</w:t>
      </w:r>
      <w:proofErr w:type="spellEnd"/>
      <w:r>
        <w:rPr>
          <w:rFonts w:ascii="Times New Roman" w:hAnsi="Times New Roman" w:cs="Times New Roman"/>
          <w:sz w:val="24"/>
          <w:szCs w:val="24"/>
          <w:lang w:val="en-GB"/>
        </w:rPr>
        <w:t xml:space="preserve"> nr.336</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Pr>
          <w:rFonts w:ascii="Times New Roman" w:hAnsi="Times New Roman" w:cs="Times New Roman"/>
          <w:sz w:val="24"/>
          <w:szCs w:val="24"/>
          <w:lang w:val="en-GB"/>
        </w:rPr>
        <w:t>Monus</w:t>
      </w:r>
      <w:proofErr w:type="spellEnd"/>
      <w:r>
        <w:rPr>
          <w:rFonts w:ascii="Times New Roman" w:hAnsi="Times New Roman" w:cs="Times New Roman"/>
          <w:sz w:val="24"/>
          <w:szCs w:val="24"/>
          <w:lang w:val="en-GB"/>
        </w:rPr>
        <w:t xml:space="preserve"> Eva,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24C7D" w:rsidRDefault="00FB005E"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E24C7D">
        <w:rPr>
          <w:rFonts w:ascii="Times New Roman" w:hAnsi="Times New Roman" w:cs="Times New Roman"/>
          <w:sz w:val="24"/>
          <w:szCs w:val="24"/>
          <w:lang w:val="en-GB"/>
        </w:rPr>
        <w:t xml:space="preserve">Activity 1: </w:t>
      </w:r>
      <w:r w:rsidR="003E6F89" w:rsidRPr="00E24C7D">
        <w:rPr>
          <w:rFonts w:ascii="Times New Roman" w:hAnsi="Times New Roman" w:cs="Times New Roman"/>
          <w:sz w:val="24"/>
          <w:szCs w:val="24"/>
          <w:lang w:val="en-GB"/>
        </w:rPr>
        <w:t>Travel services</w:t>
      </w:r>
    </w:p>
    <w:p w:rsidR="003E6F89" w:rsidRPr="003E6F89" w:rsidRDefault="003E6F89" w:rsidP="003E6F89">
      <w:pPr>
        <w:spacing w:after="0"/>
        <w:jc w:val="both"/>
        <w:rPr>
          <w:rFonts w:ascii="Times New Roman" w:hAnsi="Times New Roman" w:cs="Times New Roman"/>
          <w:sz w:val="24"/>
          <w:szCs w:val="24"/>
          <w:lang w:val="en-GB"/>
        </w:rPr>
      </w:pPr>
      <w:r w:rsidRPr="00E24C7D">
        <w:rPr>
          <w:rFonts w:ascii="Times New Roman" w:hAnsi="Times New Roman" w:cs="Times New Roman"/>
          <w:sz w:val="24"/>
          <w:szCs w:val="24"/>
          <w:lang w:val="en-GB"/>
        </w:rPr>
        <w:t>The Contractor will</w:t>
      </w:r>
      <w:r>
        <w:rPr>
          <w:rFonts w:ascii="Times New Roman" w:hAnsi="Times New Roman" w:cs="Times New Roman"/>
          <w:sz w:val="24"/>
          <w:szCs w:val="24"/>
          <w:lang w:val="en-GB"/>
        </w:rPr>
        <w:t xml:space="preserve"> provide travel services for football players and staff.</w:t>
      </w:r>
    </w:p>
    <w:p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rsidR="003E6F89" w:rsidRDefault="003E6F89" w:rsidP="003E6F89">
      <w:pPr>
        <w:spacing w:after="0"/>
        <w:jc w:val="both"/>
        <w:rPr>
          <w:rFonts w:ascii="Times New Roman" w:hAnsi="Times New Roman" w:cs="Times New Roman"/>
          <w:iCs/>
          <w:sz w:val="24"/>
          <w:szCs w:val="24"/>
          <w:lang w:val="en-US"/>
        </w:rPr>
      </w:pPr>
      <w:r>
        <w:rPr>
          <w:rFonts w:ascii="Times New Roman" w:hAnsi="Times New Roman" w:cs="Times New Roman"/>
          <w:iCs/>
          <w:sz w:val="24"/>
          <w:szCs w:val="24"/>
          <w:lang w:val="en-US"/>
        </w:rPr>
        <w:t>Service consists of following tasks and the expected o</w:t>
      </w:r>
      <w:r w:rsidRPr="00504CDA">
        <w:rPr>
          <w:rFonts w:ascii="Times New Roman" w:hAnsi="Times New Roman" w:cs="Times New Roman"/>
          <w:iCs/>
          <w:sz w:val="24"/>
          <w:szCs w:val="24"/>
          <w:lang w:val="en-US"/>
        </w:rPr>
        <w:t>utputs:</w:t>
      </w:r>
    </w:p>
    <w:p w:rsidR="003E6F89" w:rsidRPr="00504CDA" w:rsidRDefault="003E6F89" w:rsidP="003E6F89">
      <w:pPr>
        <w:spacing w:after="0"/>
        <w:jc w:val="both"/>
        <w:rPr>
          <w:rFonts w:ascii="Times New Roman" w:hAnsi="Times New Roman" w:cs="Times New Roman"/>
          <w:iCs/>
          <w:sz w:val="24"/>
          <w:szCs w:val="24"/>
          <w:lang w:val="en-US"/>
        </w:rPr>
      </w:pPr>
    </w:p>
    <w:tbl>
      <w:tblPr>
        <w:tblStyle w:val="TableGrid"/>
        <w:tblW w:w="0" w:type="auto"/>
        <w:tblLook w:val="04A0"/>
      </w:tblPr>
      <w:tblGrid>
        <w:gridCol w:w="1323"/>
        <w:gridCol w:w="1450"/>
        <w:gridCol w:w="1427"/>
        <w:gridCol w:w="1374"/>
        <w:gridCol w:w="1910"/>
      </w:tblGrid>
      <w:tr w:rsidR="003E6F89" w:rsidTr="003E6F89">
        <w:tc>
          <w:tcPr>
            <w:tcW w:w="1323" w:type="dxa"/>
          </w:tcPr>
          <w:p w:rsidR="003E6F89" w:rsidRPr="0025262D" w:rsidRDefault="003E6F89" w:rsidP="003E6F89">
            <w:pPr>
              <w:spacing w:after="0"/>
              <w:jc w:val="both"/>
              <w:rPr>
                <w:rFonts w:ascii="Times New Roman" w:hAnsi="Times New Roman" w:cs="Times New Roman"/>
                <w:sz w:val="24"/>
                <w:szCs w:val="24"/>
                <w:lang w:val="en-US"/>
              </w:rPr>
            </w:pPr>
            <w:r w:rsidRPr="0025262D">
              <w:rPr>
                <w:rFonts w:ascii="Times New Roman" w:hAnsi="Times New Roman" w:cs="Times New Roman"/>
                <w:sz w:val="24"/>
                <w:szCs w:val="24"/>
                <w:lang w:val="en-US"/>
              </w:rPr>
              <w:t>NAME OF THE EVENT</w:t>
            </w:r>
          </w:p>
        </w:tc>
        <w:tc>
          <w:tcPr>
            <w:tcW w:w="1450" w:type="dxa"/>
          </w:tcPr>
          <w:p w:rsidR="003E6F89" w:rsidRPr="0025262D" w:rsidRDefault="003E6F89" w:rsidP="003E6F89">
            <w:pPr>
              <w:spacing w:after="0"/>
              <w:jc w:val="both"/>
              <w:rPr>
                <w:rFonts w:ascii="Times New Roman" w:hAnsi="Times New Roman" w:cs="Times New Roman"/>
                <w:sz w:val="24"/>
                <w:szCs w:val="24"/>
                <w:lang w:val="en-US"/>
              </w:rPr>
            </w:pPr>
            <w:r w:rsidRPr="0025262D">
              <w:rPr>
                <w:rFonts w:ascii="Times New Roman" w:hAnsi="Times New Roman" w:cs="Times New Roman"/>
                <w:sz w:val="24"/>
                <w:szCs w:val="24"/>
                <w:lang w:val="en-US"/>
              </w:rPr>
              <w:t>LOCATION</w:t>
            </w:r>
          </w:p>
        </w:tc>
        <w:tc>
          <w:tcPr>
            <w:tcW w:w="1427" w:type="dxa"/>
          </w:tcPr>
          <w:p w:rsidR="003E6F89" w:rsidRPr="0025262D" w:rsidRDefault="003E6F89"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RELATION</w:t>
            </w:r>
          </w:p>
        </w:tc>
        <w:tc>
          <w:tcPr>
            <w:tcW w:w="1374" w:type="dxa"/>
          </w:tcPr>
          <w:p w:rsidR="003E6F89" w:rsidRPr="0025262D" w:rsidRDefault="003E6F89"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TIME</w:t>
            </w:r>
          </w:p>
        </w:tc>
        <w:tc>
          <w:tcPr>
            <w:tcW w:w="1910" w:type="dxa"/>
          </w:tcPr>
          <w:p w:rsidR="003E6F89" w:rsidRPr="0025262D" w:rsidRDefault="003E6F89"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NUMBER OF PARTICIPANTS</w:t>
            </w:r>
          </w:p>
        </w:tc>
      </w:tr>
      <w:tr w:rsidR="003E6F89" w:rsidTr="003E6F89">
        <w:tc>
          <w:tcPr>
            <w:tcW w:w="1323" w:type="dxa"/>
          </w:tcPr>
          <w:p w:rsidR="003E6F89" w:rsidRPr="0025262D" w:rsidRDefault="003E6F89"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Joint preparatory camp</w:t>
            </w:r>
            <w:r w:rsidR="0090701B">
              <w:rPr>
                <w:rFonts w:ascii="Times New Roman" w:hAnsi="Times New Roman" w:cs="Times New Roman"/>
                <w:sz w:val="24"/>
                <w:szCs w:val="24"/>
                <w:lang w:val="en-US"/>
              </w:rPr>
              <w:t xml:space="preserve"> for adolescents </w:t>
            </w:r>
          </w:p>
        </w:tc>
        <w:tc>
          <w:tcPr>
            <w:tcW w:w="1450" w:type="dxa"/>
          </w:tcPr>
          <w:p w:rsidR="003E6F89" w:rsidRPr="0025262D" w:rsidRDefault="003E6F89" w:rsidP="003E6F89">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3E6F89" w:rsidRPr="00BF65C0" w:rsidRDefault="003E6F89" w:rsidP="003E6F89">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3E6F89" w:rsidRDefault="003E6F89"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September 2017</w:t>
            </w:r>
          </w:p>
          <w:p w:rsidR="0078272E" w:rsidRPr="0025262D"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6 days</w:t>
            </w:r>
          </w:p>
        </w:tc>
        <w:tc>
          <w:tcPr>
            <w:tcW w:w="1910" w:type="dxa"/>
          </w:tcPr>
          <w:p w:rsidR="003E6F89" w:rsidRPr="0025262D" w:rsidRDefault="0090701B"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20</w:t>
            </w:r>
          </w:p>
        </w:tc>
      </w:tr>
      <w:tr w:rsidR="0090701B" w:rsidTr="003E6F89">
        <w:tc>
          <w:tcPr>
            <w:tcW w:w="1323" w:type="dxa"/>
          </w:tcPr>
          <w:p w:rsidR="0090701B" w:rsidRPr="0025262D" w:rsidRDefault="0090701B"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Joint preparatory camp for adolescents and juniors</w:t>
            </w:r>
          </w:p>
        </w:tc>
        <w:tc>
          <w:tcPr>
            <w:tcW w:w="1450" w:type="dxa"/>
          </w:tcPr>
          <w:p w:rsidR="0090701B" w:rsidRPr="0025262D" w:rsidRDefault="0090701B" w:rsidP="0090701B">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90701B" w:rsidRPr="00BF65C0" w:rsidRDefault="0090701B" w:rsidP="0090701B">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90701B" w:rsidRDefault="0090701B"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April – May 2018</w:t>
            </w:r>
          </w:p>
          <w:p w:rsidR="0078272E" w:rsidRPr="0025262D"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6 days</w:t>
            </w:r>
          </w:p>
        </w:tc>
        <w:tc>
          <w:tcPr>
            <w:tcW w:w="1910" w:type="dxa"/>
          </w:tcPr>
          <w:p w:rsidR="0090701B" w:rsidRPr="0025262D" w:rsidRDefault="0090701B"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35</w:t>
            </w:r>
          </w:p>
        </w:tc>
      </w:tr>
      <w:tr w:rsidR="0090701B" w:rsidTr="003E6F89">
        <w:tc>
          <w:tcPr>
            <w:tcW w:w="1323" w:type="dxa"/>
          </w:tcPr>
          <w:p w:rsidR="0090701B" w:rsidRPr="0025262D" w:rsidRDefault="0090701B"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League of adolescents</w:t>
            </w:r>
          </w:p>
        </w:tc>
        <w:tc>
          <w:tcPr>
            <w:tcW w:w="1450" w:type="dxa"/>
          </w:tcPr>
          <w:p w:rsidR="0090701B" w:rsidRPr="0025262D" w:rsidRDefault="0090701B" w:rsidP="0090701B">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90701B" w:rsidRPr="00BF65C0" w:rsidRDefault="0090701B" w:rsidP="0090701B">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90701B" w:rsidRDefault="0090701B"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April – May 2018</w:t>
            </w:r>
          </w:p>
          <w:p w:rsidR="003E2D32" w:rsidRPr="0025262D" w:rsidRDefault="003E2D32"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 days</w:t>
            </w:r>
          </w:p>
        </w:tc>
        <w:tc>
          <w:tcPr>
            <w:tcW w:w="1910" w:type="dxa"/>
          </w:tcPr>
          <w:p w:rsidR="0090701B" w:rsidRPr="0025262D" w:rsidRDefault="0090701B"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45</w:t>
            </w:r>
          </w:p>
        </w:tc>
      </w:tr>
      <w:tr w:rsidR="0090701B" w:rsidTr="003E6F89">
        <w:tc>
          <w:tcPr>
            <w:tcW w:w="1323" w:type="dxa"/>
          </w:tcPr>
          <w:p w:rsidR="0090701B" w:rsidRPr="0025262D" w:rsidRDefault="0090701B"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League of juniors</w:t>
            </w:r>
          </w:p>
        </w:tc>
        <w:tc>
          <w:tcPr>
            <w:tcW w:w="1450" w:type="dxa"/>
          </w:tcPr>
          <w:p w:rsidR="0090701B" w:rsidRPr="0025262D" w:rsidRDefault="0090701B" w:rsidP="0090701B">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90701B" w:rsidRPr="00BF65C0" w:rsidRDefault="0090701B" w:rsidP="0090701B">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90701B" w:rsidRDefault="0090701B"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April – May 2018</w:t>
            </w:r>
          </w:p>
          <w:p w:rsidR="003E2D32" w:rsidRDefault="003E2D32" w:rsidP="0090701B">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 days</w:t>
            </w:r>
          </w:p>
        </w:tc>
        <w:tc>
          <w:tcPr>
            <w:tcW w:w="1910" w:type="dxa"/>
          </w:tcPr>
          <w:p w:rsidR="0090701B"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45</w:t>
            </w:r>
          </w:p>
        </w:tc>
      </w:tr>
      <w:tr w:rsidR="0078272E" w:rsidTr="003E6F89">
        <w:tc>
          <w:tcPr>
            <w:tcW w:w="1323" w:type="dxa"/>
          </w:tcPr>
          <w:p w:rsidR="0078272E"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Friendly adult matches</w:t>
            </w:r>
          </w:p>
        </w:tc>
        <w:tc>
          <w:tcPr>
            <w:tcW w:w="1450" w:type="dxa"/>
          </w:tcPr>
          <w:p w:rsidR="0078272E" w:rsidRDefault="0078272E" w:rsidP="003E6F89">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78272E" w:rsidRPr="00BF65C0" w:rsidRDefault="0078272E" w:rsidP="0078272E">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78272E" w:rsidRDefault="0078272E" w:rsidP="0078272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April – May 2018</w:t>
            </w:r>
          </w:p>
          <w:p w:rsidR="003E2D32" w:rsidRDefault="003E2D32" w:rsidP="0078272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2 days</w:t>
            </w:r>
          </w:p>
        </w:tc>
        <w:tc>
          <w:tcPr>
            <w:tcW w:w="1910" w:type="dxa"/>
          </w:tcPr>
          <w:p w:rsidR="0078272E"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15</w:t>
            </w:r>
          </w:p>
        </w:tc>
      </w:tr>
      <w:tr w:rsidR="0078272E" w:rsidTr="003E6F89">
        <w:tc>
          <w:tcPr>
            <w:tcW w:w="1323" w:type="dxa"/>
          </w:tcPr>
          <w:p w:rsidR="0078272E"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Workshop</w:t>
            </w:r>
          </w:p>
        </w:tc>
        <w:tc>
          <w:tcPr>
            <w:tcW w:w="1450" w:type="dxa"/>
          </w:tcPr>
          <w:p w:rsidR="0078272E" w:rsidRDefault="0078272E" w:rsidP="0078272E">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(RS)</w:t>
            </w:r>
          </w:p>
        </w:tc>
        <w:tc>
          <w:tcPr>
            <w:tcW w:w="1427" w:type="dxa"/>
          </w:tcPr>
          <w:p w:rsidR="0078272E" w:rsidRPr="00BF65C0" w:rsidRDefault="0078272E" w:rsidP="0078272E">
            <w:pPr>
              <w:spacing w:after="0"/>
              <w:jc w:val="both"/>
              <w:rPr>
                <w:rFonts w:ascii="Times New Roman" w:hAnsi="Times New Roman" w:cs="Times New Roman"/>
                <w:sz w:val="24"/>
                <w:szCs w:val="24"/>
              </w:rPr>
            </w:pPr>
            <w:proofErr w:type="spellStart"/>
            <w:r>
              <w:rPr>
                <w:rFonts w:ascii="Times New Roman" w:hAnsi="Times New Roman" w:cs="Times New Roman"/>
                <w:sz w:val="24"/>
                <w:szCs w:val="24"/>
                <w:lang w:val="en-US"/>
              </w:rPr>
              <w:t>Dumbrava</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lang w:val="en-US"/>
              </w:rPr>
              <w:t>Totovo</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Selo</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Dumbrava</w:t>
            </w:r>
            <w:proofErr w:type="spellEnd"/>
          </w:p>
        </w:tc>
        <w:tc>
          <w:tcPr>
            <w:tcW w:w="1374" w:type="dxa"/>
          </w:tcPr>
          <w:p w:rsidR="0078272E" w:rsidRDefault="0078272E" w:rsidP="0078272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April – May 2018</w:t>
            </w:r>
          </w:p>
          <w:p w:rsidR="003E2D32" w:rsidRDefault="003E2D32" w:rsidP="0078272E">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1 day</w:t>
            </w:r>
          </w:p>
        </w:tc>
        <w:tc>
          <w:tcPr>
            <w:tcW w:w="1910" w:type="dxa"/>
          </w:tcPr>
          <w:p w:rsidR="0078272E" w:rsidRDefault="0078272E" w:rsidP="003E6F89">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r>
    </w:tbl>
    <w:p w:rsidR="006D30E2" w:rsidRDefault="006D30E2" w:rsidP="00855FE4">
      <w:pPr>
        <w:spacing w:after="0"/>
        <w:jc w:val="both"/>
        <w:rPr>
          <w:rFonts w:ascii="Times New Roman" w:hAnsi="Times New Roman" w:cs="Times New Roman"/>
          <w:sz w:val="24"/>
          <w:szCs w:val="24"/>
          <w:lang w:val="en-GB"/>
        </w:rPr>
      </w:pPr>
    </w:p>
    <w:p w:rsidR="003E2D32" w:rsidRDefault="003E2D32"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Also the buses will travel on short distances maximum 15 km from the accommodation to the venue of the different activities. No more than 100 km/day travel is foreseen.</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076F1F" w:rsidRDefault="00056F91" w:rsidP="00855FE4">
      <w:pPr>
        <w:spacing w:after="0"/>
        <w:jc w:val="both"/>
        <w:rPr>
          <w:rFonts w:ascii="Times New Roman" w:hAnsi="Times New Roman" w:cs="Times New Roman"/>
          <w:sz w:val="24"/>
          <w:szCs w:val="24"/>
          <w:lang w:val="en-GB"/>
        </w:rPr>
      </w:pPr>
      <w:r w:rsidRPr="00076F1F">
        <w:rPr>
          <w:rFonts w:ascii="Times New Roman" w:hAnsi="Times New Roman" w:cs="Times New Roman"/>
          <w:sz w:val="24"/>
          <w:szCs w:val="24"/>
          <w:lang w:val="en-GB"/>
        </w:rPr>
        <w:t>Required inputs</w:t>
      </w:r>
    </w:p>
    <w:p w:rsidR="0078272E" w:rsidRDefault="0078272E" w:rsidP="0078272E">
      <w:pPr>
        <w:spacing w:after="0"/>
        <w:jc w:val="both"/>
        <w:rPr>
          <w:rFonts w:ascii="Times New Roman" w:eastAsia="Trebuchet MS" w:hAnsi="Times New Roman" w:cs="Times New Roman"/>
          <w:sz w:val="24"/>
          <w:szCs w:val="24"/>
          <w:lang w:val="en-US"/>
        </w:rPr>
      </w:pPr>
      <w:r w:rsidRPr="0025262D">
        <w:rPr>
          <w:rFonts w:ascii="Times New Roman" w:eastAsia="Trebuchet MS" w:hAnsi="Times New Roman" w:cs="Times New Roman"/>
          <w:sz w:val="24"/>
          <w:szCs w:val="24"/>
        </w:rPr>
        <w:t xml:space="preserve">A </w:t>
      </w:r>
      <w:r>
        <w:rPr>
          <w:rFonts w:ascii="Times New Roman" w:eastAsia="Trebuchet MS" w:hAnsi="Times New Roman" w:cs="Times New Roman"/>
          <w:sz w:val="24"/>
          <w:szCs w:val="24"/>
        </w:rPr>
        <w:t>Contractor has to organize the transport according to above mentioned detailes.</w:t>
      </w:r>
      <w:r w:rsidRPr="001E1F16">
        <w:rPr>
          <w:rFonts w:ascii="Times New Roman" w:eastAsia="Trebuchet MS" w:hAnsi="Times New Roman" w:cs="Times New Roman"/>
          <w:sz w:val="24"/>
          <w:szCs w:val="24"/>
          <w:lang w:val="en-US"/>
        </w:rPr>
        <w:t xml:space="preserve"> Comfort aspect is also relevant because most of the participants are young (14-17 years old) persons</w:t>
      </w:r>
      <w:r>
        <w:rPr>
          <w:rFonts w:ascii="Times New Roman" w:eastAsia="Trebuchet MS" w:hAnsi="Times New Roman" w:cs="Times New Roman"/>
          <w:sz w:val="24"/>
          <w:szCs w:val="24"/>
          <w:lang w:val="en-US"/>
        </w:rPr>
        <w:t>.</w:t>
      </w:r>
      <w:r w:rsidR="003E2D32">
        <w:rPr>
          <w:rFonts w:ascii="Times New Roman" w:eastAsia="Trebuchet MS" w:hAnsi="Times New Roman" w:cs="Times New Roman"/>
          <w:sz w:val="24"/>
          <w:szCs w:val="24"/>
          <w:lang w:val="en-US"/>
        </w:rPr>
        <w:t xml:space="preserve"> Minimal expectations for the buses</w:t>
      </w:r>
      <w:r w:rsidR="00E24C7D">
        <w:rPr>
          <w:rFonts w:ascii="Times New Roman" w:eastAsia="Trebuchet MS" w:hAnsi="Times New Roman" w:cs="Times New Roman"/>
          <w:sz w:val="24"/>
          <w:szCs w:val="24"/>
          <w:lang w:val="en-US"/>
        </w:rPr>
        <w:t>/microbuses</w:t>
      </w:r>
      <w:r w:rsidR="003E2D32">
        <w:rPr>
          <w:rFonts w:ascii="Times New Roman" w:eastAsia="Trebuchet MS" w:hAnsi="Times New Roman" w:cs="Times New Roman"/>
          <w:sz w:val="24"/>
          <w:szCs w:val="24"/>
          <w:lang w:val="en-US"/>
        </w:rPr>
        <w:t>: air conditioning.</w:t>
      </w:r>
      <w:r>
        <w:rPr>
          <w:rFonts w:ascii="Times New Roman" w:eastAsia="Trebuchet MS" w:hAnsi="Times New Roman" w:cs="Times New Roman"/>
          <w:sz w:val="24"/>
          <w:szCs w:val="24"/>
          <w:lang w:val="en-US"/>
        </w:rPr>
        <w:t xml:space="preserve"> The Contractor has to provide a bus</w:t>
      </w:r>
      <w:r w:rsidR="00E24C7D">
        <w:rPr>
          <w:rFonts w:ascii="Times New Roman" w:eastAsia="Trebuchet MS" w:hAnsi="Times New Roman" w:cs="Times New Roman"/>
          <w:sz w:val="24"/>
          <w:szCs w:val="24"/>
          <w:lang w:val="en-US"/>
        </w:rPr>
        <w:t>/microbus</w:t>
      </w:r>
      <w:r>
        <w:rPr>
          <w:rFonts w:ascii="Times New Roman" w:eastAsia="Trebuchet MS" w:hAnsi="Times New Roman" w:cs="Times New Roman"/>
          <w:sz w:val="24"/>
          <w:szCs w:val="24"/>
          <w:lang w:val="en-US"/>
        </w:rPr>
        <w:t xml:space="preserve"> with the necessary capacity for the number of the participants. The Contractor should provide the</w:t>
      </w:r>
      <w:r w:rsidR="003E2D32">
        <w:rPr>
          <w:rFonts w:ascii="Times New Roman" w:eastAsia="Trebuchet MS" w:hAnsi="Times New Roman" w:cs="Times New Roman"/>
          <w:sz w:val="24"/>
          <w:szCs w:val="24"/>
          <w:lang w:val="en-US"/>
        </w:rPr>
        <w:t xml:space="preserve"> necessary number of drivers and also the accommodation and the meals for the drivers. The buses should stay at the disposal of the Contracting Authority for the above mentioned number of days</w:t>
      </w:r>
      <w:r w:rsidR="00E24C7D">
        <w:rPr>
          <w:rFonts w:ascii="Times New Roman" w:eastAsia="Trebuchet MS" w:hAnsi="Times New Roman" w:cs="Times New Roman"/>
          <w:sz w:val="24"/>
          <w:szCs w:val="24"/>
          <w:lang w:val="en-US"/>
        </w:rPr>
        <w:t>. Also the Contractor should pay any other taxes (road tax, insurance, parking etc.)</w:t>
      </w:r>
    </w:p>
    <w:p w:rsidR="00AC2A7D" w:rsidRPr="00076F1F" w:rsidRDefault="003E2D32" w:rsidP="0078272E">
      <w:pPr>
        <w:spacing w:after="0"/>
        <w:jc w:val="both"/>
        <w:rPr>
          <w:rFonts w:ascii="Times New Roman" w:hAnsi="Times New Roman" w:cs="Times New Roman"/>
          <w:iCs/>
          <w:sz w:val="24"/>
          <w:szCs w:val="24"/>
          <w:lang w:val="en-GB"/>
        </w:rPr>
      </w:pPr>
      <w:r>
        <w:rPr>
          <w:rFonts w:ascii="Times New Roman" w:eastAsia="Trebuchet MS" w:hAnsi="Times New Roman" w:cs="Times New Roman"/>
          <w:sz w:val="24"/>
          <w:szCs w:val="24"/>
          <w:lang w:val="en-US"/>
        </w:rPr>
        <w:t>Vehicles have to be technically compliant and dispose</w:t>
      </w:r>
      <w:r w:rsidR="0078272E">
        <w:rPr>
          <w:rFonts w:ascii="Times New Roman" w:eastAsia="Trebuchet MS" w:hAnsi="Times New Roman" w:cs="Times New Roman"/>
          <w:sz w:val="24"/>
          <w:szCs w:val="24"/>
          <w:lang w:val="en-US"/>
        </w:rPr>
        <w:t xml:space="preserve"> of all relevant documents for international and domestic travels. </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highlight w:val="yellow"/>
          <w:lang w:val="en-GB"/>
        </w:rPr>
      </w:pPr>
      <w:r w:rsidRPr="00AC2A7D">
        <w:rPr>
          <w:rFonts w:ascii="Times New Roman" w:hAnsi="Times New Roman" w:cs="Times New Roman"/>
          <w:sz w:val="24"/>
          <w:szCs w:val="24"/>
          <w:lang w:val="en-GB"/>
        </w:rPr>
        <w:t>Required time frame</w:t>
      </w:r>
    </w:p>
    <w:p w:rsidR="00056F91" w:rsidRPr="00E53649" w:rsidRDefault="00E24C7D"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AC2A7D">
        <w:rPr>
          <w:rFonts w:ascii="Times New Roman" w:hAnsi="Times New Roman" w:cs="Times New Roman"/>
          <w:i/>
          <w:iCs/>
          <w:sz w:val="24"/>
          <w:szCs w:val="24"/>
          <w:lang w:val="en-GB"/>
        </w:rPr>
        <w:t xml:space="preserve"> 2017 – </w:t>
      </w:r>
      <w:r>
        <w:rPr>
          <w:rFonts w:ascii="Times New Roman" w:hAnsi="Times New Roman" w:cs="Times New Roman"/>
          <w:i/>
          <w:iCs/>
          <w:sz w:val="24"/>
          <w:szCs w:val="24"/>
          <w:lang w:val="en-GB"/>
        </w:rPr>
        <w:t>May</w:t>
      </w:r>
      <w:r w:rsidR="00AC2A7D">
        <w:rPr>
          <w:rFonts w:ascii="Times New Roman" w:hAnsi="Times New Roman" w:cs="Times New Roman"/>
          <w:i/>
          <w:iCs/>
          <w:sz w:val="24"/>
          <w:szCs w:val="24"/>
          <w:lang w:val="en-GB"/>
        </w:rPr>
        <w:t xml:space="preserve"> 2018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D32" w:rsidRDefault="003E2D32" w:rsidP="002D4560">
      <w:pPr>
        <w:spacing w:after="0" w:line="240" w:lineRule="auto"/>
      </w:pPr>
      <w:r>
        <w:separator/>
      </w:r>
    </w:p>
  </w:endnote>
  <w:endnote w:type="continuationSeparator" w:id="0">
    <w:p w:rsidR="003E2D32" w:rsidRDefault="003E2D3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D32" w:rsidRDefault="003E2D32">
    <w:pPr>
      <w:pStyle w:val="Footer"/>
      <w:jc w:val="right"/>
    </w:pPr>
    <w:r>
      <w:t xml:space="preserve">Page </w:t>
    </w:r>
    <w:r w:rsidR="00A702E7">
      <w:rPr>
        <w:b/>
        <w:bCs/>
      </w:rPr>
      <w:fldChar w:fldCharType="begin"/>
    </w:r>
    <w:r>
      <w:rPr>
        <w:b/>
        <w:bCs/>
      </w:rPr>
      <w:instrText xml:space="preserve"> PAGE </w:instrText>
    </w:r>
    <w:r w:rsidR="00A702E7">
      <w:rPr>
        <w:b/>
        <w:bCs/>
      </w:rPr>
      <w:fldChar w:fldCharType="separate"/>
    </w:r>
    <w:r w:rsidR="001C4094">
      <w:rPr>
        <w:b/>
        <w:bCs/>
        <w:noProof/>
      </w:rPr>
      <w:t>1</w:t>
    </w:r>
    <w:r w:rsidR="00A702E7">
      <w:rPr>
        <w:b/>
        <w:bCs/>
      </w:rPr>
      <w:fldChar w:fldCharType="end"/>
    </w:r>
    <w:r>
      <w:t xml:space="preserve"> of </w:t>
    </w:r>
    <w:r w:rsidR="00A702E7">
      <w:rPr>
        <w:b/>
        <w:bCs/>
      </w:rPr>
      <w:fldChar w:fldCharType="begin"/>
    </w:r>
    <w:r>
      <w:rPr>
        <w:b/>
        <w:bCs/>
      </w:rPr>
      <w:instrText xml:space="preserve"> NUMPAGES  </w:instrText>
    </w:r>
    <w:r w:rsidR="00A702E7">
      <w:rPr>
        <w:b/>
        <w:bCs/>
      </w:rPr>
      <w:fldChar w:fldCharType="separate"/>
    </w:r>
    <w:r w:rsidR="001C4094">
      <w:rPr>
        <w:b/>
        <w:bCs/>
        <w:noProof/>
      </w:rPr>
      <w:t>4</w:t>
    </w:r>
    <w:r w:rsidR="00A702E7">
      <w:rPr>
        <w:b/>
        <w:bCs/>
      </w:rPr>
      <w:fldChar w:fldCharType="end"/>
    </w:r>
  </w:p>
  <w:p w:rsidR="003E2D32" w:rsidRDefault="003E2D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D32" w:rsidRDefault="003E2D32" w:rsidP="002D4560">
      <w:pPr>
        <w:spacing w:after="0" w:line="240" w:lineRule="auto"/>
      </w:pPr>
      <w:r>
        <w:separator/>
      </w:r>
    </w:p>
  </w:footnote>
  <w:footnote w:type="continuationSeparator" w:id="0">
    <w:p w:rsidR="003E2D32" w:rsidRDefault="003E2D32"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76F1F"/>
    <w:rsid w:val="00084AAA"/>
    <w:rsid w:val="0009046E"/>
    <w:rsid w:val="00092819"/>
    <w:rsid w:val="000A3227"/>
    <w:rsid w:val="000C2129"/>
    <w:rsid w:val="000C4949"/>
    <w:rsid w:val="000D65DB"/>
    <w:rsid w:val="000E12A6"/>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094"/>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0AA4"/>
    <w:rsid w:val="002D4560"/>
    <w:rsid w:val="002F19CD"/>
    <w:rsid w:val="002F2846"/>
    <w:rsid w:val="002F4544"/>
    <w:rsid w:val="002F5490"/>
    <w:rsid w:val="0030169E"/>
    <w:rsid w:val="00302002"/>
    <w:rsid w:val="00311E6A"/>
    <w:rsid w:val="0031260A"/>
    <w:rsid w:val="00320507"/>
    <w:rsid w:val="00324B5D"/>
    <w:rsid w:val="003259C8"/>
    <w:rsid w:val="00325E84"/>
    <w:rsid w:val="003370E1"/>
    <w:rsid w:val="00344AD5"/>
    <w:rsid w:val="00354987"/>
    <w:rsid w:val="00357B85"/>
    <w:rsid w:val="00372D99"/>
    <w:rsid w:val="003775AB"/>
    <w:rsid w:val="00385A53"/>
    <w:rsid w:val="00393B3E"/>
    <w:rsid w:val="00396982"/>
    <w:rsid w:val="00396A43"/>
    <w:rsid w:val="003B4186"/>
    <w:rsid w:val="003B5BA3"/>
    <w:rsid w:val="003C0D1A"/>
    <w:rsid w:val="003D16DD"/>
    <w:rsid w:val="003D20D7"/>
    <w:rsid w:val="003D3D59"/>
    <w:rsid w:val="003E2D32"/>
    <w:rsid w:val="003E6991"/>
    <w:rsid w:val="003E6F89"/>
    <w:rsid w:val="00401340"/>
    <w:rsid w:val="004033C8"/>
    <w:rsid w:val="004450F9"/>
    <w:rsid w:val="00451859"/>
    <w:rsid w:val="00463929"/>
    <w:rsid w:val="004672BE"/>
    <w:rsid w:val="00471596"/>
    <w:rsid w:val="00477040"/>
    <w:rsid w:val="00480F40"/>
    <w:rsid w:val="00492975"/>
    <w:rsid w:val="004B26C1"/>
    <w:rsid w:val="004B4D74"/>
    <w:rsid w:val="004B5768"/>
    <w:rsid w:val="004B66CE"/>
    <w:rsid w:val="004C312B"/>
    <w:rsid w:val="004D3096"/>
    <w:rsid w:val="004E0DCB"/>
    <w:rsid w:val="004E435D"/>
    <w:rsid w:val="004F3715"/>
    <w:rsid w:val="00516F37"/>
    <w:rsid w:val="00536A4F"/>
    <w:rsid w:val="00536EEF"/>
    <w:rsid w:val="005409AE"/>
    <w:rsid w:val="0054434C"/>
    <w:rsid w:val="00547679"/>
    <w:rsid w:val="00553D4C"/>
    <w:rsid w:val="00555EEE"/>
    <w:rsid w:val="005633C8"/>
    <w:rsid w:val="0057006B"/>
    <w:rsid w:val="005960D0"/>
    <w:rsid w:val="005A038B"/>
    <w:rsid w:val="005E7112"/>
    <w:rsid w:val="005F2BF9"/>
    <w:rsid w:val="005F5B17"/>
    <w:rsid w:val="00613D2E"/>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272E"/>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0701B"/>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5221"/>
    <w:rsid w:val="00A40762"/>
    <w:rsid w:val="00A408C1"/>
    <w:rsid w:val="00A46126"/>
    <w:rsid w:val="00A46E3A"/>
    <w:rsid w:val="00A61E18"/>
    <w:rsid w:val="00A702E7"/>
    <w:rsid w:val="00A714BE"/>
    <w:rsid w:val="00A746D7"/>
    <w:rsid w:val="00A7747B"/>
    <w:rsid w:val="00AB4BBD"/>
    <w:rsid w:val="00AC01DB"/>
    <w:rsid w:val="00AC2A7D"/>
    <w:rsid w:val="00AF1DC5"/>
    <w:rsid w:val="00AF5A2C"/>
    <w:rsid w:val="00B02A46"/>
    <w:rsid w:val="00B07FCD"/>
    <w:rsid w:val="00B10658"/>
    <w:rsid w:val="00B10AE7"/>
    <w:rsid w:val="00B1343A"/>
    <w:rsid w:val="00B24228"/>
    <w:rsid w:val="00B340E8"/>
    <w:rsid w:val="00B513A4"/>
    <w:rsid w:val="00B70E0A"/>
    <w:rsid w:val="00B758F7"/>
    <w:rsid w:val="00B91864"/>
    <w:rsid w:val="00B91F09"/>
    <w:rsid w:val="00BA3BE1"/>
    <w:rsid w:val="00BA62FA"/>
    <w:rsid w:val="00BC35A1"/>
    <w:rsid w:val="00BF0FE3"/>
    <w:rsid w:val="00C065B4"/>
    <w:rsid w:val="00C1440E"/>
    <w:rsid w:val="00C314B2"/>
    <w:rsid w:val="00C33A39"/>
    <w:rsid w:val="00C35D44"/>
    <w:rsid w:val="00C442C8"/>
    <w:rsid w:val="00C54BE8"/>
    <w:rsid w:val="00C821DB"/>
    <w:rsid w:val="00C877BB"/>
    <w:rsid w:val="00CB417E"/>
    <w:rsid w:val="00CC6C1C"/>
    <w:rsid w:val="00CD251C"/>
    <w:rsid w:val="00CE539D"/>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14CB2"/>
    <w:rsid w:val="00E24C7D"/>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4147C-09D7-4881-B8FD-FD86B4CE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4</Pages>
  <Words>1091</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26</cp:revision>
  <cp:lastPrinted>2015-06-29T10:20:00Z</cp:lastPrinted>
  <dcterms:created xsi:type="dcterms:W3CDTF">2015-11-05T12:49:00Z</dcterms:created>
  <dcterms:modified xsi:type="dcterms:W3CDTF">2017-08-09T07:32:00Z</dcterms:modified>
</cp:coreProperties>
</file>